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eastAsia="Times New Roman"/>
          <w:b/>
          <w:i w:val="0"/>
          <w:color w:val="000000"/>
          <w:sz w:val="36"/>
        </w:rPr>
        <w:t>Natural Memory v2 A Model Side Neural Memory Architecture for Persistent and Long Context AI</w:t>
      </w:r>
    </w:p>
    <w:p>
      <w:pPr>
        <w:pStyle w:val="PaperMetadata"/>
      </w:pPr>
      <w:r>
        <w:rPr>
          <w:rFonts w:ascii="Times New Roman" w:hAnsi="Times New Roman" w:eastAsia="Times New Roman"/>
          <w:b w:val="0"/>
          <w:i/>
          <w:color w:val="404040"/>
          <w:sz w:val="22"/>
        </w:rPr>
        <w:t>A sparse memory layer for long lived language model systems</w:t>
      </w:r>
    </w:p>
    <w:p>
      <w:pPr>
        <w:pStyle w:val="PaperMetadata"/>
      </w:pPr>
      <w:r>
        <w:rPr>
          <w:rFonts w:ascii="Times New Roman" w:hAnsi="Times New Roman" w:eastAsia="Times New Roman"/>
          <w:b w:val="0"/>
          <w:i w:val="0"/>
          <w:color w:val="404040"/>
          <w:sz w:val="20"/>
        </w:rPr>
        <w:t>Natural Memory Research Team  |  September 2026</w:t>
      </w:r>
    </w:p>
    <w:p>
      <w:pPr>
        <w:spacing w:before="240" w:after="80"/>
      </w:pPr>
      <w:r>
        <w:rPr>
          <w:rFonts w:ascii="Times New Roman" w:hAnsi="Times New Roman" w:eastAsia="Times New Roman"/>
          <w:b/>
          <w:i w:val="0"/>
          <w:color w:val="000000"/>
          <w:sz w:val="22"/>
        </w:rPr>
        <w:t>Abstract</w:t>
      </w:r>
    </w:p>
    <w:p>
      <w:pPr>
        <w:spacing w:after="120"/>
        <w:ind w:firstLine="0"/>
      </w:pPr>
      <w:r>
        <w:t>Large language models are highly capable within a prompt, but their useful memory is still bounded by the context window and the lifetime of the running process. Long conversations and documents must either remain in the KV cache, be replayed repeatedly, or be handled through a separate retrieval service. These approaches are expensive and do not give the model a durable internal record of experience. Natural Memory v2 separates short term working context from long term reusable information. Recent tokens remain in a bounded KV cache, while durable facts, preferences, decisions, project knowledge, summaries, and corrections are stored in structured and versioned memory pages. A learned router selects memory through coarse addressing, candidate page selection, exact reranking, and Top K retrieval. The model never performs full attention over the complete memory space. In embedded mode, memory parameters and state are stored with the model checkpoint, so restart recovery does not require a vector database or replayed conversation history. A controlled 20,000 record evaluation reached 99.32 percent routing accuracy, 100 percent record recall, and 100 percent page recall. In a 120 case comparison with the original Qwen3.5 4B model, both systems scored 0.8583. The results support persistent neural memory as a model side systems layer rather than as a replacement for the base language model.</w:t>
      </w:r>
    </w:p>
    <w:p>
      <w:pPr>
        <w:ind w:firstLine="0"/>
      </w:pPr>
      <w:r>
        <w:rPr>
          <w:rFonts w:ascii="Times New Roman" w:hAnsi="Times New Roman" w:eastAsia="Times New Roman"/>
          <w:b w:val="0"/>
          <w:i/>
          <w:color w:val="404040"/>
          <w:sz w:val="20"/>
        </w:rPr>
        <w:t>Keywords: persistent memory; long context; sparse routing; KV cache; continual learning; language models</w:t>
      </w:r>
    </w:p>
    <w:p>
      <w:r>
        <w:br w:type="page"/>
      </w:r>
    </w:p>
    <w:p>
      <w:pPr>
        <w:pStyle w:val="Heading1"/>
        <w:keepNext w:val="1"/>
      </w:pPr>
      <w:r>
        <w:t>1  Introduction</w:t>
      </w:r>
    </w:p>
    <w:p>
      <w:pPr>
        <w:ind w:firstLine="360"/>
      </w:pPr>
      <w:r>
        <w:t>Most current language models behave as if every conversation were a new session. They can use information present in the prompt, but information outside the prompt is unavailable unless it is manually reintroduced, retrieved by a separate service, or encoded through additional training. This is a practical limitation for personal assistants, coding agents, research systems, and any application that must operate over weeks or months.</w:t>
      </w:r>
    </w:p>
    <w:p>
      <w:pPr>
        <w:ind w:firstLine="360"/>
      </w:pPr>
      <w:r>
        <w:t>The difficulty is not only that context windows are finite. Raw context and useful memory are different objects. A prompt is an ordered stream of tokens. Memory should contain information selected for future use: a user preference, the state of a project, a previous decision, a correction to an earlier fact, or a relationship between several events. Keeping every historical token in the KV cache preserves detail, but it also forces the system to pay for detail that may never be relevant again.</w:t>
      </w:r>
    </w:p>
    <w:p>
      <w:pPr>
        <w:ind w:firstLine="360"/>
      </w:pPr>
      <w:r>
        <w:t>Natural Memory v2 is built around a simple division of labor. The KV cache preserves the exact recent working context. A persistent memory layer preserves the most valuable long term information in a form that can be addressed, corrected, and reused. The system therefore does not attempt to reproduce the complete past. It attempts to preserve the part of the past that improves future reasoning.</w:t>
      </w:r>
    </w:p>
    <w:p>
      <w:pPr>
        <w:ind w:firstLine="360"/>
      </w:pPr>
      <w:r>
        <w:t>The contributions of this work are a model side memory architecture, a hierarchical sparse read path, a versioned write and correction state machine, an embedded checkpoint persistence mode, and an evaluation that separates architectural memory tests from base model regression tests. The paper also reports the limits of the current evidence rather than treating configured capacity as proof of a million record deployment.</w:t>
      </w:r>
    </w:p>
    <w:p>
      <w:pPr>
        <w:pStyle w:val="Heading1"/>
        <w:keepNext w:val="1"/>
      </w:pPr>
      <w:r>
        <w:t>2  System Objectives</w:t>
      </w:r>
    </w:p>
    <w:p>
      <w:pPr>
        <w:ind w:firstLine="360"/>
      </w:pPr>
      <w:r>
        <w:t>Natural Memory v2 targets six properties. First, a model should recover personal or project facts after a restart without receiving the original chat history. Second, the active KV context should remain bounded. Third, retrieval should remain sparse as the number of memory records grows. Fourth, an incorrect memory should be replaceable or retractable. Fifth, the system should abstain when relevant evidence is absent. Sixth, the added memory path should not reduce the base model's general capabilities.</w:t>
      </w:r>
    </w:p>
    <w:p>
      <w:pPr>
        <w:ind w:firstLine="360"/>
      </w:pPr>
      <w:r>
        <w:t>These objectives distinguish Natural Memory from both an ordinary prompt cache and a conventional retrieval augmented generation service. The architecture is intended to make memory a model side operation. In embedded mode, the state travels with the model checkpoint and the model-side reader decides whether the state is relevant before it is exposed to generation.</w:t>
      </w:r>
    </w:p>
    <w:p>
      <w:pPr>
        <w:pStyle w:val="Heading1"/>
        <w:keepNext w:val="1"/>
      </w:pPr>
      <w:r>
        <w:t>3  Architecture</w:t>
      </w:r>
    </w:p>
    <w:p>
      <w:pPr>
        <w:ind w:firstLine="360"/>
      </w:pPr>
      <w:r>
        <w:t>Natural Memory v2 has a working memory path and a persistent memory path. Working memory is the recent sequence in the normal model context. Persistent memory is a set of addressed records grouped into pages. The two paths are complementary: KV cache retains exact local order, while memory pages retain selected long term evidence.</w:t>
      </w:r>
    </w:p>
    <w:p>
      <w:pPr>
        <w:pStyle w:val="Heading2"/>
        <w:keepNext w:val="1"/>
      </w:pPr>
      <w:r>
        <w:t>3.1  Working KV Memory</w:t>
      </w:r>
    </w:p>
    <w:p>
      <w:pPr>
        <w:ind w:firstLine="360"/>
      </w:pPr>
      <w:r>
        <w:t>The active conversation uses the model's ordinary attention mechanism. The implementation exposes a configurable working budget with a default of 32K tokens and a hard configuration ceiling of 128K tokens. This budget is used for current dialogue, local dependencies, and exact token order. It is not intended to carry the entire history of a user or project.</w:t>
      </w:r>
    </w:p>
    <w:p>
      <w:pPr>
        <w:ind w:firstLine="360"/>
      </w:pPr>
      <w:r>
        <w:t>When a history exceeds the useful working budget, the design goal is to preserve recent detail in KV and move durable information into memory records. The memory record is not a lossless copy of the original attention state. It is a compact representation selected for later reuse.</w:t>
      </w:r>
    </w:p>
    <w:p>
      <w:pPr>
        <w:pStyle w:val="Heading2"/>
        <w:keepNext w:val="1"/>
      </w:pPr>
      <w:r>
        <w:t>3.2  Persistent Records and Pages</w:t>
      </w:r>
    </w:p>
    <w:p>
      <w:pPr>
        <w:ind w:firstLine="360"/>
      </w:pPr>
      <w:r>
        <w:t>A record contains an identifier, text, compact address key, summary representation, memory type, entity, attribute, value, timestamp, importance, confidence, source, version, status, evidence, related records, and optional token ids. These fields let the system distinguish a current fact from an outdated fact, an uncertain inference, and a user confirmed correction.</w:t>
      </w:r>
    </w:p>
    <w:p>
      <w:pPr>
        <w:ind w:firstLine="360"/>
      </w:pPr>
      <w:r>
        <w:t>Records are grouped into bounded pages. The current configuration uses 32 records per page and 32,768 possible pages, giving a lazy address capacity of 1,048,576 records. Pages are allocated when records are written; the model does not allocate one million full tensors at startup. Page importance and access history are used to identify hot pages for fast access.</w:t>
      </w:r>
    </w:p>
    <w:p>
      <w:pPr>
        <w:spacing w:before="80" w:after="140"/>
        <w:jc w:val="center"/>
      </w:pPr>
      <m:oMathPara>
        <m:oMath>
          <m:r>
            <m:t>z_q = normalize(W_q q),     z_i = normalize(W_k k_i)</m:t>
          </m:r>
        </m:oMath>
      </m:oMathPara>
    </w:p>
    <w:p>
      <w:pPr>
        <w:spacing w:before="40" w:after="160"/>
        <w:jc w:val="center"/>
      </w:pPr>
      <w:r>
        <w:rPr>
          <w:rFonts w:ascii="Times New Roman" w:hAnsi="Times New Roman" w:eastAsia="Times New Roman"/>
          <w:b w:val="0"/>
          <w:i/>
          <w:color w:val="404040"/>
          <w:sz w:val="19"/>
        </w:rPr>
        <w:t>Equation 1  Compact query and record addresses</w:t>
      </w:r>
    </w:p>
    <w:p>
      <w:pPr>
        <w:pStyle w:val="Heading2"/>
        <w:keepNext w:val="1"/>
      </w:pPr>
      <w:r>
        <w:t>3.3  Sparse Router</w:t>
      </w:r>
    </w:p>
    <w:p>
      <w:pPr>
        <w:ind w:firstLine="360"/>
      </w:pPr>
      <w:r>
        <w:t>The router maps the model hidden representation of a query and each record into a compact address space. It combines multi head similarity with a learned pair scorer. The router also predicts whether the query needs memory at all. If the memory need probability is below the read threshold, the read path abstains before it constructs a memory prefix.</w:t>
      </w:r>
    </w:p>
    <w:p>
      <w:pPr>
        <w:ind w:firstLine="360"/>
      </w:pPr>
      <w:r>
        <w:t>The compact address is deliberately smaller than the model hidden state. The bank stores the projected key rather than a full copy of the model representation. This reduces storage and makes the cost of coarse indexing independent of the original hidden size.</w:t>
      </w:r>
    </w:p>
    <w:p>
      <w:pPr>
        <w:pStyle w:val="Heading2"/>
        <w:keepNext w:val="1"/>
      </w:pPr>
      <w:r>
        <w:t>3.4  Hierarchical Read Path</w:t>
      </w:r>
    </w:p>
    <w:p>
      <w:pPr>
        <w:ind w:firstLine="360"/>
      </w:pPr>
      <w:r>
        <w:t>The read path is a bounded sequence of reductions: query, compact address, coarse index, candidate pages, page scoring, record reranking, and Top K evidence. The current implementation normally selects at most four pages and eight records. It never applies attention between a new token and the full one million record address space.</w:t>
      </w:r>
    </w:p>
    <w:p>
      <w:pPr>
        <w:ind w:firstLine="360"/>
      </w:pPr>
      <w:r>
        <w:t>The coarse index uses locality sensitive signatures. Hamming neighbor probes increase recall without changing the query into a full scan. Page scoring combines routed similarity with page importance, recency, and a small lexical overlap term. Record scoring then operates only on the selected pages.</w:t>
      </w:r>
    </w:p>
    <w:p>
      <w:pPr>
        <w:spacing w:before="80" w:after="140"/>
        <w:jc w:val="center"/>
      </w:pPr>
      <m:oMathPara>
        <m:oMath>
          <m:r>
            <m:t>Query -&gt; coarse address -&gt; candidate pages -&gt; exact rerank -&gt; Top K records</m:t>
          </m:r>
        </m:oMath>
      </m:oMathPara>
    </w:p>
    <w:p>
      <w:pPr>
        <w:spacing w:before="40" w:after="160"/>
        <w:jc w:val="center"/>
      </w:pPr>
      <w:r>
        <w:rPr>
          <w:rFonts w:ascii="Times New Roman" w:hAnsi="Times New Roman" w:eastAsia="Times New Roman"/>
          <w:b w:val="0"/>
          <w:i/>
          <w:color w:val="404040"/>
          <w:sz w:val="19"/>
        </w:rPr>
        <w:t>Figure 1  Natural Memory v2 read pipeline</w:t>
      </w:r>
    </w:p>
    <w:p>
      <w:pPr>
        <w:pStyle w:val="Heading2"/>
        <w:keepNext w:val="1"/>
      </w:pPr>
      <w:r>
        <w:t>3.5  Multi Hop Retrieval</w:t>
      </w:r>
    </w:p>
    <w:p>
      <w:pPr>
        <w:ind w:firstLine="360"/>
      </w:pPr>
      <w:r>
        <w:t>Some questions require a chain of records. A project record may point to an architecture record, which may point to a design decision. Natural Memory v2 follows explicit related record links for a bounded number of hops. The hop trace is retained for diagnostics, and the limit prevents an uncontrolled walk through the memory graph.</w:t>
      </w:r>
    </w:p>
    <w:p>
      <w:pPr>
        <w:pStyle w:val="Heading2"/>
        <w:keepNext w:val="1"/>
      </w:pPr>
      <w:r>
        <w:t>3.6  Writing Correction and Retraction</w:t>
      </w:r>
    </w:p>
    <w:p>
      <w:pPr>
        <w:ind w:firstLine="360"/>
      </w:pPr>
      <w:r>
        <w:t>Writing is separate from reading. The write controller estimates whether a user turn contains durable information. It considers importance, confidence, novelty, question shape, similarity to existing records, and conflicts on the same entity and attribute. A write can be inserted, updated, treated as a duplicate, or placed in quarantine.</w:t>
      </w:r>
    </w:p>
    <w:p>
      <w:pPr>
        <w:ind w:firstLine="360"/>
      </w:pPr>
      <w:r>
        <w:t>A correction creates a new version and marks the previous active record as superseded. A retraction removes a record from ordinary retrieval while preserving its audit state. Uncertain information is isolated until it is approved. This state machine is intended to prevent a single mistaken write from becoming a long lived source of hallucination.</w:t>
      </w:r>
    </w:p>
    <w:p>
      <w:pPr>
        <w:pStyle w:val="Heading2"/>
        <w:keepNext w:val="1"/>
      </w:pPr>
      <w:r>
        <w:t>3.7  Embedded Persistence</w:t>
      </w:r>
    </w:p>
    <w:p>
      <w:pPr>
        <w:ind w:firstLine="360"/>
      </w:pPr>
      <w:r>
        <w:t>In embedded mode, the memory tensors, router parameters, page metadata, and token evidence are written into a safetensors memory shard that belongs to the model package. The model can therefore be restarted with the checkpoint and its embedded memory state, without a vector database, a separate user memory pt file, or a replayed prompt history.</w:t>
      </w:r>
    </w:p>
    <w:p>
      <w:pPr>
        <w:ind w:firstLine="360"/>
      </w:pPr>
      <w:r>
        <w:t>The system does not rewrite the original Qwen parameters for every new fact. New information is written into persistent memory tensors that are packaged with the model. The frozen backbone continues to perform the language modeling work, while the memory layer supplies selected evidence.</w:t>
      </w:r>
    </w:p>
    <w:p>
      <w:pPr>
        <w:pStyle w:val="Heading1"/>
        <w:keepNext w:val="1"/>
      </w:pPr>
      <w:r>
        <w:t>4  Training</w:t>
      </w:r>
    </w:p>
    <w:p>
      <w:pPr>
        <w:ind w:firstLine="360"/>
      </w:pPr>
      <w:r>
        <w:t>Natural Memory v2 trains the router separately from the frozen base language model. The first stage uses synthetic episodes with positive records, hard negatives, no memory questions, and multi hop relations. The second stage uses hidden representations generated by the target Qwen3.5 model, so the router sees the same representation distribution that it will receive at runtime.</w:t>
      </w:r>
    </w:p>
    <w:p>
      <w:pPr>
        <w:ind w:firstLine="360"/>
      </w:pPr>
      <w:r>
        <w:t>The training objective combines candidate selection, memory need prediction, and hop prediction. The candidate term teaches the router to place the correct record above hard negatives. The need term teaches it to stay silent for ordinary questions. The hop term teaches the controller to stop after the required number of retrieval steps.</w:t>
      </w:r>
    </w:p>
    <w:p>
      <w:pPr>
        <w:spacing w:before="80" w:after="140"/>
        <w:jc w:val="center"/>
      </w:pPr>
      <m:oMathPara>
        <m:oMath>
          <m:r>
            <m:t>L = L_route + lambda_1 L_need + lambda_2 L_hop</m:t>
          </m:r>
        </m:oMath>
      </m:oMathPara>
    </w:p>
    <w:p>
      <w:pPr>
        <w:spacing w:before="40" w:after="160"/>
        <w:jc w:val="center"/>
      </w:pPr>
      <w:r>
        <w:rPr>
          <w:rFonts w:ascii="Times New Roman" w:hAnsi="Times New Roman" w:eastAsia="Times New Roman"/>
          <w:b w:val="0"/>
          <w:i/>
          <w:color w:val="404040"/>
          <w:sz w:val="19"/>
        </w:rPr>
        <w:t>Equation 2  Joint router objective</w:t>
      </w:r>
    </w:p>
    <w:p>
      <w:pPr>
        <w:pStyle w:val="Heading1"/>
        <w:keepNext w:val="1"/>
      </w:pPr>
      <w:r>
        <w:t>5  Implementation</w:t>
      </w:r>
    </w:p>
    <w:p>
      <w:pPr>
        <w:ind w:firstLine="360"/>
      </w:pPr>
      <w:r>
        <w:t>The reference implementation attaches Natural Memory to a local Qwen3.5 4B checkpoint. The Qwen decoder remains the answer generator. The memory layer provides model-side modules for compact addressing, write decisions, page storage, evidence reconstruction, and embedded persistence. Generation uses the native Hugging Face generation loop; retrieved evidence is inserted as an internal memory prefix only when the router accepts it.</w:t>
      </w:r>
    </w:p>
    <w:p>
      <w:pPr>
        <w:ind w:firstLine="360"/>
      </w:pPr>
      <w:r>
        <w:t>The streaming client sends each new user turn independently. It does not replay prior dialogue. A normal user statement can trigger the automatic write controller, while an explicit command can force a write or clear the durable memory. The reset token is resolved from the tokenizer and is handled before generation so an interrupted response cannot restore a cleared state.</w:t>
      </w:r>
    </w:p>
    <w:p>
      <w:pPr>
        <w:ind w:firstLine="360"/>
      </w:pPr>
      <w:r>
        <w:t>The current package keeps the two large official Qwen shards unchanged and stores the custom memory tensors in an additional memory shard. This layout reduces disk duplication and makes memory updates atomic at the shard level. The package index is synchronized when a Windows file lock causes a runtime shard rotation.</w:t>
      </w:r>
    </w:p>
    <w:p>
      <w:pPr>
        <w:pStyle w:val="Heading1"/>
        <w:keepNext w:val="1"/>
      </w:pPr>
      <w:r>
        <w:t>6  Evaluation</w:t>
      </w:r>
    </w:p>
    <w:p>
      <w:pPr>
        <w:ind w:firstLine="360"/>
      </w:pPr>
      <w:r>
        <w:t>The evaluation has three parts. The first measures the memory architecture with a controlled synthetic store. The second compares the augmented model with the original Qwen3.5 4B model on a fixed general capability suite. The third performs a real process restart in which the second process receives no previous dialogue context.</w:t>
      </w:r>
    </w:p>
    <w:p>
      <w:pPr>
        <w:pStyle w:val="Heading2"/>
        <w:keepNext w:val="1"/>
      </w:pPr>
      <w:r>
        <w:t>6.1  Controlled Memory Evaluation</w:t>
      </w:r>
    </w:p>
    <w:p>
      <w:pPr>
        <w:ind w:firstLine="360"/>
      </w:pPr>
      <w:r>
        <w:t>The controlled benchmark wrote 20,000 records into 626 pages. The configured address capacity was 1,048,576 records. Coarse routing examined an average of 178.13 candidate pages, or 28.45 percent of the 626 pages in this experiment. Record recall and page recall were both 100 percent. Conflict correction, quarantine isolation, retraction isolation, duplicate idempotency, multi hop retrieval, and restart restoration all passed.</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824"/>
        <w:gridCol w:w="4824"/>
      </w:tblGrid>
      <w:tr>
        <w:trPr>
          <w:tblHeader w:val="true"/>
        </w:trPr>
        <w:tc>
          <w:tcPr>
            <w:tcW w:type="dxa" w:w="6480"/>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Metric</w:t>
            </w:r>
          </w:p>
        </w:tc>
        <w:tc>
          <w:tcPr>
            <w:tcW w:type="dxa" w:w="2880"/>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Result</w:t>
            </w:r>
          </w:p>
        </w:tc>
      </w:tr>
      <w:tr>
        <w:tc>
          <w:tcPr>
            <w:tcW w:type="dxa" w:w="64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Records written</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20,000</w:t>
            </w:r>
          </w:p>
        </w:tc>
      </w:tr>
      <w:tr>
        <w:tc>
          <w:tcPr>
            <w:tcW w:type="dxa" w:w="64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Pages created</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626</w:t>
            </w:r>
          </w:p>
        </w:tc>
      </w:tr>
      <w:tr>
        <w:tc>
          <w:tcPr>
            <w:tcW w:type="dxa" w:w="64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Configured address capacity</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1,048,576 records</w:t>
            </w:r>
          </w:p>
        </w:tc>
      </w:tr>
      <w:tr>
        <w:tc>
          <w:tcPr>
            <w:tcW w:type="dxa" w:w="64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Mean coarse candidates</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178.13 pages</w:t>
            </w:r>
          </w:p>
        </w:tc>
      </w:tr>
      <w:tr>
        <w:tc>
          <w:tcPr>
            <w:tcW w:type="dxa" w:w="64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Routing accuracy</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99.32%</w:t>
            </w:r>
          </w:p>
        </w:tc>
      </w:tr>
      <w:tr>
        <w:tc>
          <w:tcPr>
            <w:tcW w:type="dxa" w:w="64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Record recall</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100%</w:t>
            </w:r>
          </w:p>
        </w:tc>
      </w:tr>
      <w:tr>
        <w:tc>
          <w:tcPr>
            <w:tcW w:type="dxa" w:w="64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Page recall</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100%</w:t>
            </w:r>
          </w:p>
        </w:tc>
      </w:tr>
      <w:tr>
        <w:tc>
          <w:tcPr>
            <w:tcW w:type="dxa" w:w="64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Multi hop and restart recovery</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Passed</w:t>
            </w:r>
          </w:p>
        </w:tc>
      </w:tr>
      <w:tr>
        <w:tc>
          <w:tcPr>
            <w:tcW w:type="dxa" w:w="64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Conflict, quarantine, retraction, deduplication</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Passed</w:t>
            </w:r>
          </w:p>
        </w:tc>
      </w:tr>
    </w:tbl>
    <w:p>
      <w:pPr>
        <w:spacing w:after="40"/>
      </w:pPr>
    </w:p>
    <w:p>
      <w:pPr>
        <w:spacing w:before="40" w:after="160"/>
        <w:jc w:val="center"/>
      </w:pPr>
      <w:r>
        <w:rPr>
          <w:rFonts w:ascii="Times New Roman" w:hAnsi="Times New Roman" w:eastAsia="Times New Roman"/>
          <w:b w:val="0"/>
          <w:i/>
          <w:color w:val="404040"/>
          <w:sz w:val="19"/>
        </w:rPr>
        <w:t>Table 1  Controlled Natural Memory v2 results</w:t>
      </w:r>
    </w:p>
    <w:p>
      <w:pPr>
        <w:pStyle w:val="Heading2"/>
        <w:keepNext w:val="1"/>
      </w:pPr>
      <w:r>
        <w:t>6.2  Comparison with Qwen3.5 4B</w:t>
      </w:r>
    </w:p>
    <w:p>
      <w:pPr>
        <w:ind w:firstLine="360"/>
      </w:pPr>
      <w:r>
        <w:t>The regression suite contains 120 cases covering arithmetic, mathematics, logic, general reasoning, language, coding, instruction following, knowledge, and context retrieval at 512, 2,048, 4,096, and 8,192 tokens. The same deterministic decoding settings were used for the base and memory models.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16"/>
        <w:gridCol w:w="3216"/>
        <w:gridCol w:w="3216"/>
      </w:tblGrid>
      <w:tr>
        <w:trPr>
          <w:tblHeader w:val="true"/>
        </w:trPr>
        <w:tc>
          <w:tcPr>
            <w:tcW w:type="dxa" w:w="5328"/>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Model</w:t>
            </w:r>
          </w:p>
        </w:tc>
        <w:tc>
          <w:tcPr>
            <w:tcW w:type="dxa" w:w="2016"/>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Overall score</w:t>
            </w:r>
          </w:p>
        </w:tc>
        <w:tc>
          <w:tcPr>
            <w:tcW w:type="dxa" w:w="2016"/>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Difference</w:t>
            </w:r>
          </w:p>
        </w:tc>
      </w:tr>
      <w:tr>
        <w:tc>
          <w:tcPr>
            <w:tcW w:type="dxa" w:w="5328"/>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Original Qwen3.5 4B</w:t>
            </w:r>
          </w:p>
        </w:tc>
        <w:tc>
          <w:tcPr>
            <w:tcW w:type="dxa" w:w="2016"/>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0.8583</w:t>
            </w:r>
          </w:p>
        </w:tc>
        <w:tc>
          <w:tcPr>
            <w:tcW w:type="dxa" w:w="2016"/>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w:t>
            </w:r>
          </w:p>
        </w:tc>
      </w:tr>
      <w:tr>
        <w:tc>
          <w:tcPr>
            <w:tcW w:type="dxa" w:w="5328"/>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Natural Memory v2</w:t>
            </w:r>
          </w:p>
        </w:tc>
        <w:tc>
          <w:tcPr>
            <w:tcW w:type="dxa" w:w="2016"/>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0.8583</w:t>
            </w:r>
          </w:p>
        </w:tc>
        <w:tc>
          <w:tcPr>
            <w:tcW w:type="dxa" w:w="2016"/>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0.0000</w:t>
            </w:r>
          </w:p>
        </w:tc>
      </w:tr>
    </w:tbl>
    <w:p>
      <w:pPr>
        <w:spacing w:after="40"/>
      </w:pPr>
    </w:p>
    <w:p>
      <w:pPr>
        <w:spacing w:before="40" w:after="160"/>
        <w:jc w:val="center"/>
      </w:pPr>
      <w:r>
        <w:rPr>
          <w:rFonts w:ascii="Times New Roman" w:hAnsi="Times New Roman" w:eastAsia="Times New Roman"/>
          <w:b w:val="0"/>
          <w:i/>
          <w:color w:val="404040"/>
          <w:sz w:val="19"/>
        </w:rPr>
        <w:t>Table 2  General capability regression comparison</w:t>
      </w:r>
    </w:p>
    <w:p>
      <w:pPr>
        <w:pStyle w:val="Heading2"/>
        <w:keepNext w:val="1"/>
      </w:pPr>
      <w:r>
        <w:t>6.3  Restart Without History</w:t>
      </w:r>
    </w:p>
    <w:p>
      <w:pPr>
        <w:ind w:firstLine="360"/>
      </w:pPr>
      <w:r>
        <w:t>The model received a normal natural language statement containing a project code. The first process wrote the statement automatically and saved the embedded state. The process was then destroyed. A second process loaded the model package without the original statement or any previous conversation messages. It recovered the exact code, and a subsequent reset removed the test record from the package.</w:t>
      </w:r>
    </w:p>
    <w:p>
      <w:pPr>
        <w:ind w:firstLine="360"/>
      </w:pPr>
      <w:r>
        <w:t>The test demonstrates checkpoint-backed memory recovery. It does not claim that the current system can reproduce every token from an arbitrarily long history. The intended use is selective retention of information that has long term value.</w:t>
      </w:r>
    </w:p>
    <w:p>
      <w:pPr>
        <w:pStyle w:val="Heading2"/>
        <w:keepNext w:val="1"/>
      </w:pPr>
      <w:r>
        <w:t>6.4  Long Context Implications</w:t>
      </w:r>
    </w:p>
    <w:p>
      <w:pPr>
        <w:ind w:firstLine="360"/>
      </w:pPr>
      <w:r>
        <w:t>The long context benefit comes from changing what must remain in active KV memory. If a one million token history is represented by a 32K hot window, the raw KV token volume retained by the active window is approximately 3.2 percent, corresponding to approximately 96.8 percent less KV token volume. A 128K window retains approximately 13.1 percent of the same history.</w:t>
      </w:r>
    </w:p>
    <w:p>
      <w:pPr>
        <w:ind w:firstLine="360"/>
      </w:pPr>
      <w:r>
        <w:t>These values describe the KV component and the architecture's scaling relation. They are not a claim that the current workstation has completed a one million token end to end benchmark. The current direct KV stress test reached memory limits around 16K to 32K tokens on the local 12 GB class GPU, while the memory architecture is intended to avoid carrying the entire long history in that path.</w:t>
      </w:r>
    </w:p>
    <w:p>
      <w:pPr>
        <w:pStyle w:val="Heading1"/>
        <w:keepNext w:val="1"/>
      </w:pPr>
      <w:r>
        <w:t>7  Comparison with Existing Approaches</w:t>
      </w:r>
    </w:p>
    <w:p>
      <w:pPr>
        <w:ind w:firstLine="360"/>
      </w:pPr>
      <w:r>
        <w:t>A full context model preserves more raw detail, but its active memory and attention work grow with the sequence. Natural Memory v2 preserves exact recent detail and selectively stores older information. This makes it better suited to histories that are large but only partially relevant to each new question.</w:t>
      </w:r>
    </w:p>
    <w:p>
      <w:pPr>
        <w:ind w:firstLine="360"/>
      </w:pPr>
      <w:r>
        <w:t>An external retrieval system can fetch documents and place them back into a prompt, but the retrieval service is separate from the model. Natural Memory v2 moves the address, read, write, and lifecycle decisions into the model-side memory path. In embedded mode, the memory state travels with the checkpoint and does not require a separate vector database for inference.</w:t>
      </w:r>
    </w:p>
    <w:p>
      <w:pPr>
        <w:ind w:firstLine="360"/>
      </w:pPr>
      <w:r>
        <w:t>Fine tuning changes the base parameters and is expensive for frequently changing personal facts. Natural Memory v2 can inject verified knowledge into persistent memory tensors without updating the frozen backbone. This is closer to adding an internal, auditable memory layer than to rewriting the language model's entire knowledge distribution.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16"/>
        <w:gridCol w:w="3216"/>
        <w:gridCol w:w="3216"/>
      </w:tblGrid>
      <w:tr>
        <w:trPr>
          <w:tblHeader w:val="true"/>
        </w:trPr>
        <w:tc>
          <w:tcPr>
            <w:tcW w:type="dxa" w:w="2880"/>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Property</w:t>
            </w:r>
          </w:p>
        </w:tc>
        <w:tc>
          <w:tcPr>
            <w:tcW w:type="dxa" w:w="3600"/>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Traditional full context</w:t>
            </w:r>
          </w:p>
        </w:tc>
        <w:tc>
          <w:tcPr>
            <w:tcW w:type="dxa" w:w="2880"/>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Natural Memory v2</w:t>
            </w:r>
          </w:p>
        </w:tc>
      </w:tr>
      <w:tr>
        <w:tc>
          <w:tcPr>
            <w:tcW w:type="dxa" w:w="28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Persistent identity</w:t>
            </w:r>
          </w:p>
        </w:tc>
        <w:tc>
          <w:tcPr>
            <w:tcW w:type="dxa" w:w="360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Requires replay or external state</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Embedded checkpoint state</w:t>
            </w:r>
          </w:p>
        </w:tc>
      </w:tr>
      <w:tr>
        <w:tc>
          <w:tcPr>
            <w:tcW w:type="dxa" w:w="28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Long history cost</w:t>
            </w:r>
          </w:p>
        </w:tc>
        <w:tc>
          <w:tcPr>
            <w:tcW w:type="dxa" w:w="360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Grows with all retained tokens</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Bounded KV plus sparse retrieval</w:t>
            </w:r>
          </w:p>
        </w:tc>
      </w:tr>
      <w:tr>
        <w:tc>
          <w:tcPr>
            <w:tcW w:type="dxa" w:w="28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Memory correction</w:t>
            </w:r>
          </w:p>
        </w:tc>
        <w:tc>
          <w:tcPr>
            <w:tcW w:type="dxa" w:w="360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Usually external application logic</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Versioned model-side state</w:t>
            </w:r>
          </w:p>
        </w:tc>
      </w:tr>
      <w:tr>
        <w:tc>
          <w:tcPr>
            <w:tcW w:type="dxa" w:w="28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Missing evidence</w:t>
            </w:r>
          </w:p>
        </w:tc>
        <w:tc>
          <w:tcPr>
            <w:tcW w:type="dxa" w:w="360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May still answer from model prior</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Router threshold can abstain</w:t>
            </w:r>
          </w:p>
        </w:tc>
      </w:tr>
      <w:tr>
        <w:tc>
          <w:tcPr>
            <w:tcW w:type="dxa" w:w="28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Update mechanism</w:t>
            </w:r>
          </w:p>
        </w:tc>
        <w:tc>
          <w:tcPr>
            <w:tcW w:type="dxa" w:w="360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Prompt, retrieval, or fine tuning</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Memory write without backbone update</w:t>
            </w:r>
          </w:p>
        </w:tc>
      </w:tr>
    </w:tbl>
    <w:p>
      <w:pPr>
        <w:spacing w:after="40"/>
      </w:pPr>
    </w:p>
    <w:p>
      <w:pPr>
        <w:spacing w:before="40" w:after="160"/>
        <w:jc w:val="center"/>
      </w:pPr>
      <w:r>
        <w:rPr>
          <w:rFonts w:ascii="Times New Roman" w:hAnsi="Times New Roman" w:eastAsia="Times New Roman"/>
          <w:b w:val="0"/>
          <w:i/>
          <w:color w:val="404040"/>
          <w:sz w:val="19"/>
        </w:rPr>
        <w:t>Table 3  Architectural comparison</w:t>
      </w:r>
    </w:p>
    <w:p>
      <w:pPr>
        <w:pStyle w:val="Heading1"/>
        <w:keepNext w:val="1"/>
      </w:pPr>
      <w:r>
        <w:t>8  Safety and Behavioral Constraints</w:t>
      </w:r>
    </w:p>
    <w:p>
      <w:pPr>
        <w:ind w:firstLine="360"/>
      </w:pPr>
      <w:r>
        <w:t>Memory errors are more dangerous than short lived context errors because they can be recalled repeatedly. Natural Memory v2 therefore stores confidence, source, timestamp, evidence, and version for each durable record. Conflicting values are not kept as equally current facts. A later trusted value supersedes the older active value, while the old version remains auditable.</w:t>
      </w:r>
    </w:p>
    <w:p>
      <w:pPr>
        <w:ind w:firstLine="360"/>
      </w:pPr>
      <w:r>
        <w:t>High priority policies can be represented as immutable memory-layer records. This can make them resistant to casual overwriting by later conversation. It is important to distinguish this from a formal guarantee that every generated token will obey a policy. Strong output guarantees still require appropriate decoder or control-path enforcement. The memory layer provides persistence and auditability; it is not a complete alignment proof.</w:t>
      </w:r>
    </w:p>
    <w:p>
      <w:pPr>
        <w:pStyle w:val="Heading1"/>
        <w:keepNext w:val="1"/>
      </w:pPr>
      <w:r>
        <w:t>9  Limitations and Future Work</w:t>
      </w:r>
    </w:p>
    <w:p>
      <w:pPr>
        <w:ind w:firstLine="360"/>
      </w:pPr>
      <w:r>
        <w:t>The configured capacity of 1,048,576 records is a lazy address capacity. The controlled experiment wrote 20,000 actual records. A full million-record natural language evaluation remains to be performed.</w:t>
      </w:r>
    </w:p>
    <w:p>
      <w:pPr>
        <w:ind w:firstLine="360"/>
      </w:pPr>
      <w:r>
        <w:t>The current long context evaluation reaches 8,192 tokens, and the current backend is optimized for architectural validation rather than for a production million-record binary page store. A scalable deployment should use compact binary pages, memory mapping, durable indexing, and explicit GPU, RAM, and disk residency policies.</w:t>
      </w:r>
    </w:p>
    <w:p>
      <w:pPr>
        <w:ind w:firstLine="360"/>
      </w:pPr>
      <w:r>
        <w:t>The Qwen-specific router achieved 91.26 percent held out routing accuracy and 36.70 percent held out hop accuracy in its training report. Generalization to unseen entities, paraphrases, conflicting facts, and long chains remains the main learning problem. Future training should include harder compositional episodes, random-position recall, contamination tests, long document summarization, delayed correction, and long-running continuous operation.</w:t>
      </w:r>
    </w:p>
    <w:p>
      <w:pPr>
        <w:ind w:firstLine="360"/>
      </w:pPr>
      <w:r>
        <w:t>The architecture is intentionally selective rather than lossless. Reconstructing every original token would require a storage system close to another KV cache. The research question is therefore not whether memory can preserve all information, but whether it can preserve the right information with a reliable abstention and correction mechanism.</w:t>
      </w:r>
    </w:p>
    <w:p>
      <w:pPr>
        <w:pStyle w:val="Heading1"/>
        <w:keepNext w:val="1"/>
      </w:pPr>
      <w:r>
        <w:t>10  Conclusion</w:t>
      </w:r>
    </w:p>
    <w:p>
      <w:pPr>
        <w:ind w:firstLine="360"/>
      </w:pPr>
      <w:r>
        <w:t>Natural Memory v2 presents a model-side approach to persistent memory for language models. It separates recent working context from long term reusable information, uses sparse hierarchical routing instead of full memory attention, and provides lifecycle operations for writing, updating, correcting, quarantining, and retracting memories.</w:t>
      </w:r>
    </w:p>
    <w:p>
      <w:pPr>
        <w:ind w:firstLine="360"/>
      </w:pPr>
      <w:r>
        <w:t>The current system preserves the measured general capability of Qwen3.5 4B while adding restart-safe recall and a configurable million-record address space. The central design principle is not to replace the KV cache, but to prevent the KV cache from carrying the entire history. This creates a practical direction for language models that accumulate experience rather than starting from zero at every session.</w:t>
      </w:r>
    </w:p>
    <w:p>
      <w:pPr>
        <w:ind w:firstLine="360"/>
      </w:pPr>
      <w:r>
        <w:t>The next stage is to validate the same design at much larger real data scale and under sustained operation. If the router can maintain high recall while retaining safe abstention, Natural Memory could become a general systems layer for persistent personal AI, long-running agents, and long document reasoning.</w:t>
      </w:r>
    </w:p>
    <w:p>
      <w:pPr>
        <w:pStyle w:val="Heading1"/>
        <w:keepNext w:val="1"/>
      </w:pPr>
      <w:r>
        <w:t>11  Data and Code Availability</w:t>
      </w:r>
    </w:p>
    <w:p>
      <w:pPr>
        <w:ind w:firstLine="360"/>
      </w:pPr>
      <w:r>
        <w:t>The implementation, configuration, evaluation scripts, controlled benchmark reports, and model package used for this manuscript are maintained in the Natural Memory v2 project directory. The reported numbers are tied to the local Qwen3.5 4B checkpoint, deterministic evaluation settings, and the specific test data shipped with the project. Readers reproducing the results should record the model revision, quantization mode, device memory, router checkpoint, and memory configuration.</w:t>
      </w:r>
    </w:p>
    <w:p>
      <w:pPr>
        <w:pStyle w:val="Heading1"/>
        <w:keepNext w:val="1"/>
      </w:pPr>
      <w:r>
        <w:t>11  References</w:t>
      </w:r>
    </w:p>
    <w:p>
      <w:pPr>
        <w:ind w:firstLine="360"/>
      </w:pPr>
      <w:r>
        <w:t>[1] Vaswani, A., Shazeer, N., Parmar, N., et al. 2017. Attention Is All You Need. Advances in Neural Information Processing Systems.</w:t>
      </w:r>
    </w:p>
    <w:p>
      <w:pPr>
        <w:ind w:firstLine="360"/>
      </w:pPr>
      <w:r>
        <w:t>[2] Lewis, P., Perez, E., Piktus, A., et al. 2020. Retrieval Augmented Generation for Knowledge Intensive NLP Tasks. Advances in Neural Information Processing Systems.</w:t>
      </w:r>
    </w:p>
    <w:p>
      <w:pPr>
        <w:ind w:firstLine="360"/>
      </w:pPr>
      <w:r>
        <w:t>[3] Rae, J. W., Potapenko, A., Jayakumar, S. M., and Lillicrap, T. P. 2020. Compressive Transformers for Long Range Sequence Modelling. International Conference on Learning Representations.</w:t>
      </w:r>
    </w:p>
    <w:p>
      <w:pPr>
        <w:ind w:firstLine="360"/>
      </w:pPr>
      <w:r>
        <w:t>[4] Borgeaud, S., Mensch, A., Hoffmann, J., et al. 2022. Improving Language Models by Retrieving from Trillions of Tokens. International Conference on Machine Learning.</w:t>
      </w:r>
    </w:p>
    <w:p>
      <w:pPr>
        <w:ind w:firstLine="360"/>
      </w:pPr>
      <w:r>
        <w:t>[5] Wu, Y., Rabe, M. N., Hutchins, D., and Szegedy, C. 2022. Memorizing Transformers. International Conference on Learning Representations.</w:t>
      </w:r>
    </w:p>
    <w:sectPr w:rsidR="00FC693F" w:rsidRPr="0006063C" w:rsidSect="00034616">
      <w:headerReference w:type="default" r:id="rId9"/>
      <w:footerReference w:type="default" r:id="rId10"/>
      <w:pgSz w:w="12240" w:h="15840"/>
      <w:pgMar w:top="1181" w:right="1296" w:bottom="1080"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val="0"/>
        <w:color w:val="666666"/>
        <w:sz w:val="18"/>
      </w:rPr>
      <w:t xml:space="preserve">Page </w:t>
    </w:r>
    <w:fldSimple w:instr="PAGE">
      <w:r>
        <w:rPr>
          <w:rFonts w:ascii="Times New Roman" w:hAnsi="Times New Roman"/>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Times New Roman"/>
        <w:b w:val="0"/>
        <w:i w:val="0"/>
        <w:color w:val="666666"/>
        <w:sz w:val="17"/>
      </w:rPr>
      <w:t>Natural Memory v2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ind w:firstLine="360"/>
      <w:jc w:val="both"/>
    </w:pPr>
    <w:rPr>
      <w:rFonts w:ascii="Times New Roman" w:hAnsi="Times New Roman" w:eastAsia="Times New Roman"/>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Times New Roman" w:hAnsi="Times New Roman" w:eastAsia="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Times New Roman" w:hAnsi="Times New Roman" w:eastAsia="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Times New Roman" w:hAnsi="Times New Roman" w:eastAsia="Times New Roman"/>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contextualSpacing/>
      <w:jc w:val="center"/>
    </w:pPr>
    <w:rPr>
      <w:rFonts w:asciiTheme="majorHAnsi" w:eastAsiaTheme="majorEastAsia" w:hAnsiTheme="majorHAnsi" w:cstheme="majorBidi" w:ascii="Times New Roman" w:hAnsi="Times New Roman" w:eastAsia="Times New Roman"/>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perMetadata">
    <w:name w:val="Paper Metadata"/>
    <w:pPr>
      <w:spacing w:after="80"/>
      <w:jc w:val="center"/>
    </w:pPr>
    <w:rPr>
      <w:rFonts w:ascii="Times New Roman" w:hAnsi="Times New Roman" w:eastAsia="Times New Roman"/>
      <w:b w:val="0"/>
      <w:color w:val="00000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Natural Memory v2</dc:subject>
  <dc:creator>Natural Memory Research Team</dc:creator>
  <cp:keywords/>
  <dc:description/>
  <cp:lastModifiedBy/>
  <cp:revision>1</cp:revision>
  <dcterms:created xsi:type="dcterms:W3CDTF">2013-12-23T23:15:00Z</dcterms:created>
  <dcterms:modified xsi:type="dcterms:W3CDTF">2013-12-23T23:15:00Z</dcterms:modified>
  <cp:category/>
</cp:coreProperties>
</file>